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黑体" w:hAnsi="黑体" w:eastAsia="黑体" w:cs="黑体"/>
          <w:color w:val="auto"/>
          <w:sz w:val="44"/>
          <w:szCs w:val="44"/>
        </w:rPr>
      </w:pPr>
      <w:r>
        <w:rPr>
          <w:rFonts w:hint="eastAsia" w:ascii="黑体" w:hAnsi="黑体" w:eastAsia="黑体" w:cs="黑体"/>
          <w:color w:val="auto"/>
          <w:sz w:val="44"/>
          <w:szCs w:val="44"/>
        </w:rPr>
        <w:t>阳泉市远中劳务派遣有限公司</w:t>
      </w:r>
    </w:p>
    <w:p>
      <w:pPr>
        <w:spacing w:line="560" w:lineRule="exact"/>
        <w:jc w:val="center"/>
        <w:rPr>
          <w:rFonts w:hint="eastAsia" w:ascii="黑体" w:hAnsi="黑体" w:eastAsia="黑体" w:cs="黑体"/>
          <w:color w:val="auto"/>
          <w:sz w:val="36"/>
          <w:szCs w:val="36"/>
        </w:rPr>
      </w:pPr>
      <w:r>
        <w:rPr>
          <w:rFonts w:hint="eastAsia" w:ascii="黑体" w:hAnsi="黑体" w:eastAsia="黑体" w:cs="黑体"/>
          <w:color w:val="auto"/>
          <w:sz w:val="44"/>
          <w:szCs w:val="44"/>
          <w:lang w:eastAsia="zh-CN"/>
        </w:rPr>
        <w:t>关于</w:t>
      </w:r>
      <w:r>
        <w:rPr>
          <w:rFonts w:hint="eastAsia" w:ascii="黑体" w:hAnsi="黑体" w:eastAsia="黑体" w:cs="黑体"/>
          <w:color w:val="auto"/>
          <w:sz w:val="44"/>
          <w:szCs w:val="44"/>
        </w:rPr>
        <w:t>招聘</w:t>
      </w:r>
      <w:r>
        <w:rPr>
          <w:rFonts w:hint="eastAsia" w:ascii="黑体" w:hAnsi="黑体" w:eastAsia="黑体" w:cs="黑体"/>
          <w:color w:val="auto"/>
          <w:sz w:val="44"/>
          <w:szCs w:val="44"/>
          <w:lang w:eastAsia="zh-CN"/>
        </w:rPr>
        <w:t>平定县人民法院劳务派遣工作人员的</w:t>
      </w:r>
      <w:r>
        <w:rPr>
          <w:rFonts w:hint="eastAsia" w:ascii="黑体" w:hAnsi="黑体" w:eastAsia="黑体" w:cs="黑体"/>
          <w:color w:val="auto"/>
          <w:sz w:val="44"/>
          <w:szCs w:val="44"/>
        </w:rPr>
        <w:t>公告</w:t>
      </w:r>
    </w:p>
    <w:p>
      <w:pPr>
        <w:ind w:firstLine="640" w:firstLineChars="200"/>
        <w:rPr>
          <w:rFonts w:ascii="黑体" w:hAnsi="黑体" w:eastAsia="黑体" w:cs="黑体"/>
          <w:color w:val="auto"/>
          <w:sz w:val="32"/>
          <w:szCs w:val="32"/>
        </w:rPr>
      </w:pPr>
    </w:p>
    <w:p>
      <w:pPr>
        <w:spacing w:line="36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我公司根据</w:t>
      </w:r>
      <w:r>
        <w:rPr>
          <w:rFonts w:hint="eastAsia" w:ascii="仿宋_GB2312" w:hAnsi="仿宋_GB2312" w:eastAsia="仿宋_GB2312" w:cs="仿宋_GB2312"/>
          <w:color w:val="auto"/>
          <w:sz w:val="32"/>
          <w:szCs w:val="32"/>
          <w:lang w:eastAsia="zh-CN"/>
        </w:rPr>
        <w:t>平定县人民法院</w:t>
      </w:r>
      <w:r>
        <w:rPr>
          <w:rFonts w:hint="eastAsia" w:ascii="仿宋_GB2312" w:hAnsi="仿宋_GB2312" w:eastAsia="仿宋_GB2312" w:cs="仿宋_GB2312"/>
          <w:color w:val="auto"/>
          <w:sz w:val="32"/>
          <w:szCs w:val="32"/>
        </w:rPr>
        <w:t>工作需要，</w:t>
      </w:r>
      <w:r>
        <w:rPr>
          <w:rFonts w:hint="eastAsia" w:ascii="仿宋_GB2312" w:hAnsi="仿宋_GB2312" w:eastAsia="仿宋_GB2312" w:cs="仿宋_GB2312"/>
          <w:color w:val="auto"/>
          <w:sz w:val="32"/>
          <w:szCs w:val="32"/>
          <w:lang w:eastAsia="zh-CN"/>
        </w:rPr>
        <w:t>经研究决定，按照“公开公正、公平竞争、择优聘用”的原则，</w:t>
      </w:r>
      <w:r>
        <w:rPr>
          <w:rFonts w:hint="eastAsia" w:ascii="仿宋_GB2312" w:hAnsi="仿宋_GB2312" w:eastAsia="仿宋_GB2312" w:cs="仿宋_GB2312"/>
          <w:color w:val="auto"/>
          <w:sz w:val="32"/>
          <w:szCs w:val="32"/>
        </w:rPr>
        <w:t>拟面向社会公开招录劳务派遣用工人员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有意向且符合以下岗位基本条件的请按以下方式报名。</w:t>
      </w:r>
      <w:r>
        <w:rPr>
          <w:rFonts w:hint="eastAsia" w:ascii="仿宋_GB2312" w:hAnsi="仿宋_GB2312" w:eastAsia="仿宋_GB2312" w:cs="仿宋_GB2312"/>
          <w:color w:val="auto"/>
          <w:sz w:val="32"/>
          <w:szCs w:val="32"/>
          <w:lang w:eastAsia="zh-CN"/>
        </w:rPr>
        <w:t>招聘岗位及人数见附件。</w:t>
      </w:r>
    </w:p>
    <w:p>
      <w:pPr>
        <w:ind w:firstLine="640" w:firstLineChars="200"/>
        <w:rPr>
          <w:rFonts w:hint="eastAsia" w:ascii="黑体" w:hAnsi="黑体" w:eastAsia="黑体" w:cs="黑体"/>
          <w:color w:val="auto"/>
          <w:sz w:val="32"/>
          <w:szCs w:val="32"/>
          <w:lang w:eastAsia="zh-CN"/>
        </w:rPr>
      </w:pPr>
      <w:r>
        <w:rPr>
          <w:rFonts w:hint="eastAsia" w:ascii="黑体" w:hAnsi="黑体" w:eastAsia="黑体" w:cs="黑体"/>
          <w:color w:val="auto"/>
          <w:sz w:val="32"/>
          <w:szCs w:val="32"/>
        </w:rPr>
        <w:t>一、</w:t>
      </w:r>
      <w:r>
        <w:rPr>
          <w:rFonts w:hint="eastAsia" w:ascii="黑体" w:hAnsi="黑体" w:eastAsia="黑体" w:cs="黑体"/>
          <w:color w:val="auto"/>
          <w:sz w:val="32"/>
          <w:szCs w:val="32"/>
          <w:lang w:eastAsia="zh-CN"/>
        </w:rPr>
        <w:t>报名条件</w:t>
      </w:r>
    </w:p>
    <w:p>
      <w:pPr>
        <w:spacing w:line="360" w:lineRule="auto"/>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具有中华人民共和国国籍，拥护中华人民共和国宪法；</w:t>
      </w:r>
    </w:p>
    <w:p>
      <w:pPr>
        <w:spacing w:line="36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2、身体健康，五官端正，身体裸露部位无纹身；</w:t>
      </w:r>
    </w:p>
    <w:p>
      <w:pPr>
        <w:spacing w:line="36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有良好的政治素质和道德品</w:t>
      </w:r>
      <w:r>
        <w:rPr>
          <w:rFonts w:hint="eastAsia" w:ascii="仿宋_GB2312" w:hAnsi="仿宋_GB2312" w:eastAsia="仿宋_GB2312" w:cs="仿宋_GB2312"/>
          <w:color w:val="auto"/>
          <w:sz w:val="32"/>
          <w:szCs w:val="32"/>
          <w:lang w:eastAsia="zh-CN"/>
        </w:rPr>
        <w:t>行</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无违法犯罪记录</w:t>
      </w:r>
      <w:r>
        <w:rPr>
          <w:rFonts w:hint="eastAsia" w:ascii="仿宋_GB2312" w:hAnsi="仿宋_GB2312" w:eastAsia="仿宋_GB2312" w:cs="仿宋_GB2312"/>
          <w:color w:val="auto"/>
          <w:sz w:val="32"/>
          <w:szCs w:val="32"/>
        </w:rPr>
        <w:t>;</w:t>
      </w:r>
    </w:p>
    <w:p>
      <w:pPr>
        <w:spacing w:line="36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4、年龄在35周岁以下（含35周岁）；</w:t>
      </w:r>
    </w:p>
    <w:p>
      <w:pPr>
        <w:spacing w:line="36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5、具备符合岗位要求的工作能力；</w:t>
      </w:r>
    </w:p>
    <w:p>
      <w:pPr>
        <w:spacing w:line="360" w:lineRule="auto"/>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6、具备较好的沟通协调和语言表达能力；</w:t>
      </w:r>
    </w:p>
    <w:p>
      <w:pPr>
        <w:spacing w:line="360" w:lineRule="auto"/>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7、具备正常履行岗位职责的身体条件；</w:t>
      </w:r>
    </w:p>
    <w:p>
      <w:pPr>
        <w:spacing w:line="360" w:lineRule="auto"/>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8、服从调剂；</w:t>
      </w:r>
    </w:p>
    <w:p>
      <w:pPr>
        <w:spacing w:line="360" w:lineRule="auto"/>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9、有下列情形之一的，不得报考：</w:t>
      </w:r>
    </w:p>
    <w:p>
      <w:pPr>
        <w:spacing w:line="360" w:lineRule="auto"/>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（1）曾因违法违纪受到刑事或行政处罚的；</w:t>
      </w:r>
    </w:p>
    <w:p>
      <w:pPr>
        <w:spacing w:line="360" w:lineRule="auto"/>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（2）曾被开除公职的；</w:t>
      </w:r>
    </w:p>
    <w:p>
      <w:pPr>
        <w:spacing w:line="360" w:lineRule="auto"/>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（3）涉嫌违纪违法正在接受审查，尚未得出结论的；</w:t>
      </w:r>
    </w:p>
    <w:p>
      <w:pPr>
        <w:spacing w:line="360" w:lineRule="auto"/>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（4）违反社会公德、职业道德，造成不良影响的；</w:t>
      </w:r>
    </w:p>
    <w:p>
      <w:pPr>
        <w:spacing w:line="360" w:lineRule="auto"/>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（5）被列入失信被执行人的；</w:t>
      </w:r>
    </w:p>
    <w:p>
      <w:pPr>
        <w:spacing w:line="360" w:lineRule="auto"/>
        <w:ind w:firstLine="640" w:firstLineChars="200"/>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（6）其他不宜从事相关工作的情形。</w:t>
      </w:r>
    </w:p>
    <w:p>
      <w:pPr>
        <w:ind w:firstLine="640" w:firstLineChars="200"/>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二、报名办法、时间和地点</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报考人员须本人现场报名，不接受委托报名（凡代报的一律不予报名）。</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b w:val="0"/>
          <w:bCs w:val="0"/>
          <w:color w:val="auto"/>
          <w:sz w:val="32"/>
          <w:szCs w:val="32"/>
          <w:lang w:val="en-US" w:eastAsia="zh-CN"/>
        </w:rPr>
        <w:t>2、</w:t>
      </w:r>
      <w:r>
        <w:rPr>
          <w:rFonts w:hint="eastAsia" w:ascii="仿宋" w:hAnsi="仿宋" w:eastAsia="仿宋" w:cs="仿宋"/>
          <w:color w:val="auto"/>
          <w:sz w:val="32"/>
          <w:szCs w:val="32"/>
          <w:lang w:eastAsia="zh-CN"/>
        </w:rPr>
        <w:t>现场报名时，须本人提供</w:t>
      </w:r>
      <w:r>
        <w:rPr>
          <w:rFonts w:hint="eastAsia" w:ascii="仿宋" w:hAnsi="仿宋" w:eastAsia="仿宋" w:cs="仿宋"/>
          <w:b w:val="0"/>
          <w:bCs w:val="0"/>
          <w:color w:val="auto"/>
          <w:sz w:val="32"/>
          <w:szCs w:val="32"/>
          <w:lang w:eastAsia="zh-CN"/>
        </w:rPr>
        <w:t>有效身份证、户口本首页和本人页、无犯罪记录证明，毕业证书、</w:t>
      </w:r>
      <w:r>
        <w:rPr>
          <w:rFonts w:hint="eastAsia" w:ascii="仿宋" w:hAnsi="仿宋" w:eastAsia="仿宋"/>
          <w:b w:val="0"/>
          <w:bCs w:val="0"/>
          <w:color w:val="000000"/>
          <w:sz w:val="32"/>
          <w:szCs w:val="32"/>
        </w:rPr>
        <w:t>已就业的还须提供现任职单位出具的同意报考证明</w:t>
      </w:r>
      <w:r>
        <w:rPr>
          <w:rFonts w:hint="eastAsia" w:ascii="仿宋" w:hAnsi="仿宋" w:eastAsia="仿宋" w:cs="仿宋"/>
          <w:b w:val="0"/>
          <w:bCs w:val="0"/>
          <w:color w:val="auto"/>
          <w:sz w:val="32"/>
          <w:szCs w:val="32"/>
          <w:lang w:eastAsia="zh-CN"/>
        </w:rPr>
        <w:t>等证件原件及复印件</w:t>
      </w:r>
      <w:r>
        <w:rPr>
          <w:rFonts w:hint="eastAsia" w:ascii="仿宋" w:hAnsi="仿宋" w:eastAsia="仿宋" w:cs="仿宋"/>
          <w:b w:val="0"/>
          <w:bCs w:val="0"/>
          <w:color w:val="auto"/>
          <w:sz w:val="32"/>
          <w:szCs w:val="32"/>
          <w:lang w:val="en-US" w:eastAsia="zh-CN"/>
        </w:rPr>
        <w:t>1</w:t>
      </w:r>
      <w:r>
        <w:rPr>
          <w:rFonts w:hint="eastAsia" w:ascii="仿宋" w:hAnsi="仿宋" w:eastAsia="仿宋" w:cs="仿宋"/>
          <w:b w:val="0"/>
          <w:bCs w:val="0"/>
          <w:color w:val="auto"/>
          <w:sz w:val="32"/>
          <w:szCs w:val="32"/>
          <w:lang w:eastAsia="zh-CN"/>
        </w:rPr>
        <w:t>份，1寸近期免冠红底照片</w:t>
      </w:r>
      <w:r>
        <w:rPr>
          <w:rFonts w:hint="eastAsia" w:ascii="仿宋" w:hAnsi="仿宋" w:eastAsia="仿宋" w:cs="仿宋"/>
          <w:b w:val="0"/>
          <w:bCs w:val="0"/>
          <w:color w:val="auto"/>
          <w:sz w:val="32"/>
          <w:szCs w:val="32"/>
          <w:lang w:val="en-US" w:eastAsia="zh-CN"/>
        </w:rPr>
        <w:t>2</w:t>
      </w:r>
      <w:r>
        <w:rPr>
          <w:rFonts w:hint="eastAsia" w:ascii="仿宋" w:hAnsi="仿宋" w:eastAsia="仿宋" w:cs="仿宋"/>
          <w:b w:val="0"/>
          <w:bCs w:val="0"/>
          <w:color w:val="auto"/>
          <w:sz w:val="32"/>
          <w:szCs w:val="32"/>
          <w:lang w:eastAsia="zh-CN"/>
        </w:rPr>
        <w:t>张。</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b w:val="0"/>
          <w:bCs w:val="0"/>
          <w:color w:val="auto"/>
          <w:sz w:val="32"/>
          <w:szCs w:val="32"/>
          <w:lang w:val="en-US" w:eastAsia="zh-CN"/>
        </w:rPr>
        <w:t>3、</w:t>
      </w:r>
      <w:r>
        <w:rPr>
          <w:rFonts w:hint="eastAsia" w:ascii="仿宋" w:hAnsi="仿宋" w:eastAsia="仿宋" w:cs="仿宋"/>
          <w:b w:val="0"/>
          <w:bCs w:val="0"/>
          <w:color w:val="auto"/>
          <w:sz w:val="32"/>
          <w:szCs w:val="32"/>
          <w:lang w:eastAsia="zh-CN"/>
        </w:rPr>
        <w:t>经资格审核</w:t>
      </w:r>
      <w:r>
        <w:rPr>
          <w:rFonts w:hint="eastAsia" w:ascii="仿宋" w:hAnsi="仿宋" w:eastAsia="仿宋" w:cs="仿宋"/>
          <w:color w:val="auto"/>
          <w:sz w:val="32"/>
          <w:szCs w:val="32"/>
          <w:lang w:eastAsia="zh-CN"/>
        </w:rPr>
        <w:t>符合报考条件的人员填写完整的《阳泉市远中劳务派遣有限公司招聘报名表》。报考人员提交的报名信息应当真实、准确。如提供虚假报名信息的，一经查实，即取消应聘资格。</w:t>
      </w:r>
    </w:p>
    <w:p>
      <w:pPr>
        <w:ind w:firstLine="640" w:firstLineChars="200"/>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val="en-US" w:eastAsia="zh-CN"/>
        </w:rPr>
        <w:t>4、</w:t>
      </w:r>
      <w:r>
        <w:rPr>
          <w:rFonts w:hint="eastAsia" w:ascii="仿宋" w:hAnsi="仿宋" w:eastAsia="仿宋" w:cs="仿宋"/>
          <w:b w:val="0"/>
          <w:bCs w:val="0"/>
          <w:color w:val="auto"/>
          <w:sz w:val="32"/>
          <w:szCs w:val="32"/>
          <w:lang w:eastAsia="zh-CN"/>
        </w:rPr>
        <w:t>报名时间、地点及咨询电话</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报名时间：2021年9月1日——9月3日（工作时间：上午8：30-11：30，下午3：00-6：00,周六、日休息）</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报名地点：阳泉市城区德胜东街27号八层</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咨询电话：0353—-2012867</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w:t>
      </w:r>
      <w:r>
        <w:rPr>
          <w:rFonts w:hint="eastAsia" w:ascii="仿宋" w:hAnsi="仿宋" w:eastAsia="仿宋"/>
          <w:color w:val="000000"/>
          <w:sz w:val="32"/>
          <w:szCs w:val="32"/>
          <w:lang w:eastAsia="zh-CN"/>
        </w:rPr>
        <w:t>报名费用：凡报考者需交纳报名费</w:t>
      </w:r>
      <w:r>
        <w:rPr>
          <w:rFonts w:hint="eastAsia" w:ascii="仿宋" w:hAnsi="仿宋" w:eastAsia="仿宋"/>
          <w:color w:val="000000"/>
          <w:sz w:val="32"/>
          <w:szCs w:val="32"/>
          <w:lang w:val="en-US" w:eastAsia="zh-CN"/>
        </w:rPr>
        <w:t>100</w:t>
      </w:r>
      <w:r>
        <w:rPr>
          <w:rFonts w:hint="eastAsia" w:ascii="仿宋" w:hAnsi="仿宋" w:eastAsia="仿宋"/>
          <w:color w:val="000000"/>
          <w:sz w:val="32"/>
          <w:szCs w:val="32"/>
          <w:lang w:eastAsia="zh-CN"/>
        </w:rPr>
        <w:t>元</w:t>
      </w:r>
      <w:r>
        <w:rPr>
          <w:rFonts w:hint="eastAsia" w:ascii="仿宋" w:hAnsi="仿宋" w:eastAsia="仿宋"/>
          <w:color w:val="000000"/>
          <w:sz w:val="32"/>
          <w:szCs w:val="32"/>
          <w:lang w:val="en-US" w:eastAsia="zh-CN"/>
        </w:rPr>
        <w:t>（现金收取）</w:t>
      </w:r>
      <w:r>
        <w:rPr>
          <w:rFonts w:hint="eastAsia" w:ascii="仿宋" w:hAnsi="仿宋" w:eastAsia="仿宋"/>
          <w:color w:val="000000"/>
          <w:sz w:val="32"/>
          <w:szCs w:val="32"/>
          <w:lang w:eastAsia="zh-CN"/>
        </w:rPr>
        <w:t>，不管是否录用，报名费均不退还。</w:t>
      </w:r>
    </w:p>
    <w:p>
      <w:pPr>
        <w:numPr>
          <w:ilvl w:val="0"/>
          <w:numId w:val="1"/>
        </w:numPr>
        <w:ind w:firstLine="640" w:firstLineChars="200"/>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笔试及面试办法</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b/>
          <w:bCs/>
          <w:color w:val="auto"/>
          <w:sz w:val="32"/>
          <w:szCs w:val="32"/>
          <w:lang w:eastAsia="zh-CN"/>
        </w:rPr>
      </w:pPr>
      <w:r>
        <w:rPr>
          <w:rFonts w:hint="eastAsia" w:ascii="仿宋" w:hAnsi="仿宋" w:eastAsia="仿宋" w:cs="仿宋"/>
          <w:color w:val="auto"/>
          <w:sz w:val="32"/>
          <w:szCs w:val="32"/>
          <w:lang w:val="en-US" w:eastAsia="zh-CN"/>
        </w:rPr>
        <w:t>1、</w:t>
      </w:r>
      <w:r>
        <w:rPr>
          <w:rFonts w:hint="eastAsia" w:ascii="仿宋" w:hAnsi="仿宋" w:eastAsia="仿宋" w:cs="仿宋"/>
          <w:b/>
          <w:bCs/>
          <w:color w:val="auto"/>
          <w:sz w:val="32"/>
          <w:szCs w:val="32"/>
          <w:lang w:eastAsia="zh-CN"/>
        </w:rPr>
        <w:t>笔试</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本次公开招聘工作人员</w:t>
      </w:r>
      <w:r>
        <w:rPr>
          <w:rFonts w:hint="eastAsia" w:ascii="仿宋" w:hAnsi="仿宋" w:eastAsia="仿宋" w:cs="仿宋"/>
          <w:b w:val="0"/>
          <w:bCs w:val="0"/>
          <w:color w:val="auto"/>
          <w:sz w:val="32"/>
          <w:szCs w:val="32"/>
          <w:lang w:eastAsia="zh-CN"/>
        </w:rPr>
        <w:t>笔试内容为：法学理论知识、时事政治、文书写作、行政职业能力测试等，其中以法律专业知识为主。</w:t>
      </w:r>
      <w:r>
        <w:rPr>
          <w:rFonts w:hint="eastAsia" w:ascii="仿宋" w:hAnsi="仿宋" w:eastAsia="仿宋" w:cs="仿宋"/>
          <w:color w:val="auto"/>
          <w:sz w:val="32"/>
          <w:szCs w:val="32"/>
          <w:lang w:eastAsia="zh-CN"/>
        </w:rPr>
        <w:t>笔试时间为120分钟，笔试成绩总分为100分，笔试成绩占考试总成绩的60%。笔试全部采用闭卷方式进行。</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2、</w:t>
      </w:r>
      <w:r>
        <w:rPr>
          <w:rFonts w:hint="eastAsia" w:ascii="仿宋" w:hAnsi="仿宋" w:eastAsia="仿宋" w:cs="仿宋"/>
          <w:b/>
          <w:bCs/>
          <w:color w:val="auto"/>
          <w:sz w:val="32"/>
          <w:szCs w:val="32"/>
          <w:lang w:eastAsia="zh-CN"/>
        </w:rPr>
        <w:t>面试</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根据笔试成绩由高到低进行排序，按照录用人数的1：2的比例确定入围面试人员。不足1：2比例的，参加笔试人员全部面试。</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eastAsia="zh-CN"/>
        </w:rPr>
        <w:t>面试采用半结构化面试，考察内容包括仪容仪表、语言表达、法律及相关专业知识、沟通协调能力等。</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面试满分100分。将所有考官给出的总分数进行平均，平均分即为该考生的面试成绩，面试成绩保留两位小数。面试成绩占考试总成绩的40%。</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考试总成绩＝笔试成绩×60%+面试成绩×40%</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考试时间、面试时间、体检时间、地点另行通知。</w:t>
      </w:r>
    </w:p>
    <w:p>
      <w:pPr>
        <w:numPr>
          <w:ilvl w:val="0"/>
          <w:numId w:val="1"/>
        </w:numPr>
        <w:ind w:left="0" w:leftChars="0" w:firstLine="640" w:firstLineChars="200"/>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待遇</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本次招录人员试用期3个月。试用期考核不合格者，取消录用资格。薪酬待遇不低于2000元，</w:t>
      </w:r>
      <w:r>
        <w:rPr>
          <w:rFonts w:hint="eastAsia" w:ascii="仿宋" w:hAnsi="仿宋" w:eastAsia="仿宋" w:cs="仿宋"/>
          <w:sz w:val="32"/>
          <w:szCs w:val="32"/>
          <w:lang w:val="en-US" w:eastAsia="zh-CN"/>
        </w:rPr>
        <w:t>按规定缴纳城镇职工社会保险。</w:t>
      </w:r>
    </w:p>
    <w:p>
      <w:pPr>
        <w:ind w:firstLine="640" w:firstLineChars="200"/>
        <w:rPr>
          <w:rFonts w:hint="eastAsia" w:ascii="仿宋" w:hAnsi="仿宋" w:eastAsia="仿宋" w:cs="仿宋"/>
          <w:color w:val="auto"/>
          <w:sz w:val="32"/>
          <w:szCs w:val="32"/>
          <w:lang w:val="en-US" w:eastAsia="zh-CN"/>
        </w:rPr>
      </w:pP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此次招聘具体信息在阳泉市远中劳务派遣有限公司网站（www.yqlwpq.cn/）及</w:t>
      </w:r>
      <w:r>
        <w:rPr>
          <w:rFonts w:hint="eastAsia" w:ascii="仿宋" w:hAnsi="仿宋" w:eastAsia="仿宋" w:cs="仿宋"/>
          <w:sz w:val="32"/>
          <w:szCs w:val="32"/>
        </w:rPr>
        <w:t>阳泉市就业人才网</w:t>
      </w:r>
      <w:r>
        <w:rPr>
          <w:rFonts w:hint="eastAsia" w:ascii="仿宋" w:hAnsi="仿宋" w:eastAsia="仿宋" w:cs="仿宋"/>
          <w:sz w:val="32"/>
          <w:szCs w:val="32"/>
          <w:lang w:eastAsia="zh-CN"/>
        </w:rPr>
        <w:t>（</w:t>
      </w:r>
      <w:r>
        <w:fldChar w:fldCharType="begin"/>
      </w:r>
      <w:r>
        <w:instrText xml:space="preserve"> HYPERLINK "http://www.yqjyrc.cn" </w:instrText>
      </w:r>
      <w:r>
        <w:fldChar w:fldCharType="separate"/>
      </w:r>
      <w:r>
        <w:rPr>
          <w:rStyle w:val="6"/>
          <w:rFonts w:hint="eastAsia" w:ascii="仿宋" w:hAnsi="仿宋" w:eastAsia="仿宋" w:cs="仿宋"/>
          <w:sz w:val="32"/>
          <w:szCs w:val="32"/>
        </w:rPr>
        <w:t>www.yqjyrc.cn</w:t>
      </w:r>
      <w:r>
        <w:rPr>
          <w:rStyle w:val="6"/>
          <w:rFonts w:hint="eastAsia" w:ascii="仿宋" w:hAnsi="仿宋" w:eastAsia="仿宋" w:cs="仿宋"/>
          <w:sz w:val="32"/>
          <w:szCs w:val="32"/>
        </w:rPr>
        <w:fldChar w:fldCharType="end"/>
      </w:r>
      <w:r>
        <w:rPr>
          <w:rFonts w:hint="eastAsia" w:ascii="仿宋" w:hAnsi="仿宋" w:eastAsia="仿宋" w:cs="仿宋"/>
          <w:sz w:val="32"/>
          <w:szCs w:val="32"/>
          <w:lang w:eastAsia="zh-CN"/>
        </w:rPr>
        <w:t>）</w:t>
      </w:r>
      <w:r>
        <w:rPr>
          <w:rFonts w:hint="eastAsia" w:ascii="仿宋" w:hAnsi="仿宋" w:eastAsia="仿宋" w:cs="仿宋"/>
          <w:color w:val="auto"/>
          <w:sz w:val="32"/>
          <w:szCs w:val="32"/>
          <w:lang w:val="en-US" w:eastAsia="zh-CN"/>
        </w:rPr>
        <w:t>发布。</w:t>
      </w:r>
    </w:p>
    <w:p>
      <w:pPr>
        <w:ind w:firstLine="640" w:firstLineChars="200"/>
        <w:rPr>
          <w:rFonts w:hint="eastAsia" w:ascii="仿宋_GB2312" w:hAnsi="仿宋_GB2312" w:eastAsia="仿宋_GB2312" w:cs="仿宋_GB2312"/>
          <w:color w:val="auto"/>
          <w:sz w:val="32"/>
          <w:szCs w:val="32"/>
          <w:lang w:eastAsia="zh-CN"/>
        </w:rPr>
      </w:pP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本公告由</w:t>
      </w:r>
      <w:r>
        <w:rPr>
          <w:rFonts w:hint="eastAsia" w:ascii="仿宋_GB2312" w:eastAsia="仿宋"/>
          <w:b/>
          <w:bCs/>
          <w:color w:val="auto"/>
          <w:sz w:val="32"/>
          <w:szCs w:val="32"/>
        </w:rPr>
        <w:t>阳泉市远中劳务派遣有限公司</w:t>
      </w:r>
      <w:r>
        <w:rPr>
          <w:rFonts w:hint="eastAsia" w:ascii="仿宋_GB2312" w:hAnsi="仿宋_GB2312" w:eastAsia="仿宋_GB2312" w:cs="仿宋_GB2312"/>
          <w:color w:val="auto"/>
          <w:sz w:val="32"/>
          <w:szCs w:val="32"/>
        </w:rPr>
        <w:t>负责解释。</w:t>
      </w:r>
    </w:p>
    <w:p>
      <w:pPr>
        <w:jc w:val="center"/>
        <w:rPr>
          <w:rFonts w:hint="eastAsia" w:ascii="仿宋_GB2312" w:eastAsia="仿宋"/>
          <w:b/>
          <w:bCs/>
          <w:color w:val="auto"/>
          <w:sz w:val="32"/>
          <w:szCs w:val="32"/>
          <w:lang w:val="en-US" w:eastAsia="zh-CN"/>
        </w:rPr>
      </w:pPr>
    </w:p>
    <w:p>
      <w:pPr>
        <w:jc w:val="center"/>
        <w:rPr>
          <w:rFonts w:hint="eastAsia" w:ascii="仿宋_GB2312" w:eastAsia="仿宋"/>
          <w:b/>
          <w:bCs/>
          <w:color w:val="auto"/>
          <w:sz w:val="32"/>
          <w:szCs w:val="32"/>
          <w:lang w:val="en-US" w:eastAsia="zh-CN"/>
        </w:rPr>
      </w:pPr>
    </w:p>
    <w:p>
      <w:pPr>
        <w:jc w:val="center"/>
        <w:rPr>
          <w:rFonts w:hint="eastAsia" w:ascii="仿宋_GB2312" w:eastAsia="仿宋"/>
          <w:b/>
          <w:bCs/>
          <w:color w:val="auto"/>
          <w:sz w:val="32"/>
          <w:szCs w:val="32"/>
          <w:lang w:val="en-US" w:eastAsia="zh-CN"/>
        </w:rPr>
      </w:pPr>
    </w:p>
    <w:p>
      <w:pPr>
        <w:jc w:val="center"/>
        <w:rPr>
          <w:rFonts w:hint="eastAsia" w:ascii="仿宋_GB2312" w:eastAsia="仿宋"/>
          <w:b/>
          <w:bCs/>
          <w:color w:val="auto"/>
          <w:sz w:val="32"/>
          <w:szCs w:val="32"/>
          <w:lang w:val="en-US" w:eastAsia="zh-CN"/>
        </w:rPr>
      </w:pPr>
      <w:r>
        <w:rPr>
          <w:rFonts w:hint="eastAsia" w:ascii="仿宋_GB2312" w:eastAsia="仿宋"/>
          <w:b/>
          <w:bCs/>
          <w:color w:val="auto"/>
          <w:sz w:val="32"/>
          <w:szCs w:val="32"/>
          <w:lang w:val="en-US" w:eastAsia="zh-CN"/>
        </w:rPr>
        <w:t xml:space="preserve">                         </w:t>
      </w:r>
    </w:p>
    <w:p>
      <w:pPr>
        <w:jc w:val="center"/>
        <w:rPr>
          <w:rFonts w:hint="eastAsia" w:ascii="仿宋_GB2312" w:eastAsia="仿宋"/>
          <w:b/>
          <w:bCs/>
          <w:color w:val="auto"/>
          <w:sz w:val="32"/>
          <w:szCs w:val="32"/>
        </w:rPr>
      </w:pPr>
      <w:r>
        <w:rPr>
          <w:rFonts w:hint="eastAsia" w:ascii="仿宋_GB2312" w:eastAsia="仿宋"/>
          <w:b/>
          <w:bCs/>
          <w:color w:val="auto"/>
          <w:sz w:val="32"/>
          <w:szCs w:val="32"/>
          <w:lang w:val="en-US" w:eastAsia="zh-CN"/>
        </w:rPr>
        <w:t xml:space="preserve">                      </w:t>
      </w:r>
      <w:r>
        <w:rPr>
          <w:rFonts w:hint="eastAsia" w:ascii="仿宋_GB2312" w:eastAsia="仿宋"/>
          <w:b/>
          <w:bCs/>
          <w:color w:val="auto"/>
          <w:sz w:val="32"/>
          <w:szCs w:val="32"/>
        </w:rPr>
        <w:t>阳泉市远中劳务派遣有限公司</w:t>
      </w:r>
    </w:p>
    <w:p>
      <w:pPr>
        <w:ind w:firstLine="5120" w:firstLineChars="16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31</w:t>
      </w:r>
      <w:r>
        <w:rPr>
          <w:rFonts w:hint="eastAsia" w:ascii="仿宋_GB2312" w:hAnsi="仿宋_GB2312" w:eastAsia="仿宋_GB2312" w:cs="仿宋_GB2312"/>
          <w:color w:val="auto"/>
          <w:sz w:val="32"/>
          <w:szCs w:val="32"/>
        </w:rPr>
        <w:t>日</w:t>
      </w: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黑体" w:hAnsi="黑体" w:eastAsia="黑体" w:cs="黑体"/>
          <w:color w:val="auto"/>
          <w:sz w:val="32"/>
          <w:szCs w:val="32"/>
          <w:lang w:eastAsia="zh-CN"/>
        </w:rPr>
      </w:pPr>
      <w:bookmarkStart w:id="0" w:name="_GoBack"/>
      <w:bookmarkEnd w:id="0"/>
      <w:r>
        <w:rPr>
          <w:rFonts w:hint="eastAsia" w:ascii="黑体" w:hAnsi="黑体" w:eastAsia="黑体" w:cs="黑体"/>
          <w:color w:val="auto"/>
          <w:sz w:val="32"/>
          <w:szCs w:val="32"/>
          <w:lang w:eastAsia="zh-CN"/>
        </w:rPr>
        <w:t>附件：</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color w:val="auto"/>
          <w:sz w:val="44"/>
          <w:szCs w:val="44"/>
          <w:lang w:eastAsia="zh-CN"/>
        </w:rPr>
      </w:pPr>
      <w:r>
        <w:rPr>
          <w:rFonts w:hint="eastAsia" w:ascii="黑体" w:hAnsi="黑体" w:eastAsia="黑体" w:cs="黑体"/>
          <w:color w:val="auto"/>
          <w:sz w:val="44"/>
          <w:szCs w:val="44"/>
          <w:lang w:eastAsia="zh-CN"/>
        </w:rPr>
        <w:t>招</w:t>
      </w:r>
      <w:r>
        <w:rPr>
          <w:rFonts w:hint="eastAsia" w:ascii="黑体" w:hAnsi="黑体" w:eastAsia="黑体" w:cs="黑体"/>
          <w:color w:val="auto"/>
          <w:sz w:val="44"/>
          <w:szCs w:val="44"/>
          <w:lang w:val="en-US" w:eastAsia="zh-CN"/>
        </w:rPr>
        <w:t xml:space="preserve"> </w:t>
      </w:r>
      <w:r>
        <w:rPr>
          <w:rFonts w:hint="eastAsia" w:ascii="黑体" w:hAnsi="黑体" w:eastAsia="黑体" w:cs="黑体"/>
          <w:color w:val="auto"/>
          <w:sz w:val="44"/>
          <w:szCs w:val="44"/>
          <w:lang w:eastAsia="zh-CN"/>
        </w:rPr>
        <w:t>聘</w:t>
      </w:r>
      <w:r>
        <w:rPr>
          <w:rFonts w:hint="eastAsia" w:ascii="黑体" w:hAnsi="黑体" w:eastAsia="黑体" w:cs="黑体"/>
          <w:color w:val="auto"/>
          <w:sz w:val="44"/>
          <w:szCs w:val="44"/>
          <w:lang w:val="en-US" w:eastAsia="zh-CN"/>
        </w:rPr>
        <w:t xml:space="preserve"> </w:t>
      </w:r>
      <w:r>
        <w:rPr>
          <w:rFonts w:hint="eastAsia" w:ascii="黑体" w:hAnsi="黑体" w:eastAsia="黑体" w:cs="黑体"/>
          <w:color w:val="auto"/>
          <w:sz w:val="44"/>
          <w:szCs w:val="44"/>
          <w:lang w:eastAsia="zh-CN"/>
        </w:rPr>
        <w:t>岗</w:t>
      </w:r>
      <w:r>
        <w:rPr>
          <w:rFonts w:hint="eastAsia" w:ascii="黑体" w:hAnsi="黑体" w:eastAsia="黑体" w:cs="黑体"/>
          <w:color w:val="auto"/>
          <w:sz w:val="44"/>
          <w:szCs w:val="44"/>
          <w:lang w:val="en-US" w:eastAsia="zh-CN"/>
        </w:rPr>
        <w:t xml:space="preserve"> </w:t>
      </w:r>
      <w:r>
        <w:rPr>
          <w:rFonts w:hint="eastAsia" w:ascii="黑体" w:hAnsi="黑体" w:eastAsia="黑体" w:cs="黑体"/>
          <w:color w:val="auto"/>
          <w:sz w:val="44"/>
          <w:szCs w:val="44"/>
          <w:lang w:eastAsia="zh-CN"/>
        </w:rPr>
        <w:t>位</w:t>
      </w:r>
      <w:r>
        <w:rPr>
          <w:rFonts w:hint="eastAsia" w:ascii="黑体" w:hAnsi="黑体" w:eastAsia="黑体" w:cs="黑体"/>
          <w:color w:val="auto"/>
          <w:sz w:val="44"/>
          <w:szCs w:val="44"/>
          <w:lang w:val="en-US" w:eastAsia="zh-CN"/>
        </w:rPr>
        <w:t xml:space="preserve"> </w:t>
      </w:r>
      <w:r>
        <w:rPr>
          <w:rFonts w:hint="eastAsia" w:ascii="黑体" w:hAnsi="黑体" w:eastAsia="黑体" w:cs="黑体"/>
          <w:color w:val="auto"/>
          <w:sz w:val="44"/>
          <w:szCs w:val="44"/>
          <w:lang w:eastAsia="zh-CN"/>
        </w:rPr>
        <w:t>表</w:t>
      </w:r>
    </w:p>
    <w:tbl>
      <w:tblPr>
        <w:tblStyle w:val="4"/>
        <w:tblpPr w:leftFromText="180" w:rightFromText="180" w:vertAnchor="text" w:horzAnchor="page" w:tblpX="1409" w:tblpY="640"/>
        <w:tblOverlap w:val="never"/>
        <w:tblW w:w="93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1"/>
        <w:gridCol w:w="938"/>
        <w:gridCol w:w="1517"/>
        <w:gridCol w:w="4716"/>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371" w:type="dxa"/>
            <w:vMerge w:val="restart"/>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8"/>
                <w:szCs w:val="28"/>
                <w:vertAlign w:val="baseline"/>
                <w:lang w:eastAsia="zh-CN"/>
              </w:rPr>
            </w:pPr>
            <w:r>
              <w:rPr>
                <w:rFonts w:hint="eastAsia" w:ascii="宋体" w:hAnsi="宋体" w:eastAsia="宋体" w:cs="宋体"/>
                <w:b/>
                <w:bCs/>
                <w:color w:val="auto"/>
                <w:sz w:val="28"/>
                <w:szCs w:val="28"/>
                <w:vertAlign w:val="baseline"/>
                <w:lang w:eastAsia="zh-CN"/>
              </w:rPr>
              <w:t>招聘岗位</w:t>
            </w:r>
          </w:p>
        </w:tc>
        <w:tc>
          <w:tcPr>
            <w:tcW w:w="938" w:type="dxa"/>
            <w:vMerge w:val="restart"/>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8"/>
                <w:szCs w:val="28"/>
                <w:vertAlign w:val="baseline"/>
                <w:lang w:eastAsia="zh-CN"/>
              </w:rPr>
            </w:pPr>
            <w:r>
              <w:rPr>
                <w:rFonts w:hint="eastAsia" w:ascii="宋体" w:hAnsi="宋体" w:eastAsia="宋体" w:cs="宋体"/>
                <w:b/>
                <w:bCs/>
                <w:color w:val="auto"/>
                <w:sz w:val="28"/>
                <w:szCs w:val="28"/>
                <w:vertAlign w:val="baseline"/>
                <w:lang w:eastAsia="zh-CN"/>
              </w:rPr>
              <w:t>拟招人数</w:t>
            </w:r>
          </w:p>
        </w:tc>
        <w:tc>
          <w:tcPr>
            <w:tcW w:w="6233" w:type="dxa"/>
            <w:gridSpan w:val="2"/>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8"/>
                <w:szCs w:val="28"/>
                <w:vertAlign w:val="baseline"/>
                <w:lang w:eastAsia="zh-CN"/>
              </w:rPr>
            </w:pPr>
            <w:r>
              <w:rPr>
                <w:rFonts w:hint="eastAsia" w:ascii="宋体" w:hAnsi="宋体" w:eastAsia="宋体" w:cs="宋体"/>
                <w:b/>
                <w:bCs/>
                <w:color w:val="auto"/>
                <w:sz w:val="28"/>
                <w:szCs w:val="28"/>
                <w:vertAlign w:val="baseline"/>
                <w:lang w:eastAsia="zh-CN"/>
              </w:rPr>
              <w:t>岗位概要</w:t>
            </w:r>
          </w:p>
        </w:tc>
        <w:tc>
          <w:tcPr>
            <w:tcW w:w="856" w:type="dxa"/>
            <w:vMerge w:val="restart"/>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r>
              <w:rPr>
                <w:rFonts w:hint="eastAsia" w:ascii="宋体" w:hAnsi="宋体" w:eastAsia="宋体" w:cs="宋体"/>
                <w:b/>
                <w:bCs/>
                <w:color w:val="auto"/>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trPr>
        <w:tc>
          <w:tcPr>
            <w:tcW w:w="1371" w:type="dxa"/>
            <w:vMerge w:val="continue"/>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8"/>
                <w:szCs w:val="28"/>
                <w:vertAlign w:val="baseline"/>
                <w:lang w:eastAsia="zh-CN"/>
              </w:rPr>
            </w:pPr>
          </w:p>
        </w:tc>
        <w:tc>
          <w:tcPr>
            <w:tcW w:w="938" w:type="dxa"/>
            <w:vMerge w:val="continue"/>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8"/>
                <w:szCs w:val="28"/>
                <w:vertAlign w:val="baseline"/>
                <w:lang w:eastAsia="zh-CN"/>
              </w:rPr>
            </w:pPr>
          </w:p>
        </w:tc>
        <w:tc>
          <w:tcPr>
            <w:tcW w:w="1517"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8"/>
                <w:szCs w:val="28"/>
                <w:vertAlign w:val="baseline"/>
                <w:lang w:val="en-US" w:eastAsia="zh-CN"/>
              </w:rPr>
            </w:pPr>
            <w:r>
              <w:rPr>
                <w:rFonts w:hint="eastAsia" w:ascii="宋体" w:hAnsi="宋体" w:eastAsia="宋体" w:cs="宋体"/>
                <w:b/>
                <w:bCs/>
                <w:color w:val="auto"/>
                <w:sz w:val="28"/>
                <w:szCs w:val="28"/>
                <w:vertAlign w:val="baseline"/>
                <w:lang w:eastAsia="zh-CN"/>
              </w:rPr>
              <w:t>学历要求</w:t>
            </w:r>
          </w:p>
        </w:tc>
        <w:tc>
          <w:tcPr>
            <w:tcW w:w="4716"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8"/>
                <w:szCs w:val="28"/>
                <w:vertAlign w:val="baseline"/>
                <w:lang w:val="en-US" w:eastAsia="zh-CN"/>
              </w:rPr>
            </w:pPr>
            <w:r>
              <w:rPr>
                <w:rFonts w:hint="eastAsia" w:ascii="宋体" w:hAnsi="宋体" w:eastAsia="宋体" w:cs="宋体"/>
                <w:b/>
                <w:bCs/>
                <w:color w:val="auto"/>
                <w:sz w:val="28"/>
                <w:szCs w:val="28"/>
                <w:vertAlign w:val="baseline"/>
                <w:lang w:eastAsia="zh-CN"/>
              </w:rPr>
              <w:t>其他要求</w:t>
            </w:r>
          </w:p>
        </w:tc>
        <w:tc>
          <w:tcPr>
            <w:tcW w:w="856" w:type="dxa"/>
            <w:vMerge w:val="continue"/>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trPr>
        <w:tc>
          <w:tcPr>
            <w:tcW w:w="1371"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r>
              <w:rPr>
                <w:rFonts w:hint="eastAsia" w:ascii="宋体" w:hAnsi="宋体" w:eastAsia="宋体" w:cs="宋体"/>
                <w:color w:val="auto"/>
                <w:sz w:val="28"/>
                <w:szCs w:val="28"/>
                <w:vertAlign w:val="baseline"/>
                <w:lang w:eastAsia="zh-CN"/>
              </w:rPr>
              <w:t>法律事务助理</w:t>
            </w:r>
          </w:p>
        </w:tc>
        <w:tc>
          <w:tcPr>
            <w:tcW w:w="938"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val="en-US" w:eastAsia="zh-CN"/>
              </w:rPr>
            </w:pPr>
            <w:r>
              <w:rPr>
                <w:rFonts w:hint="eastAsia" w:ascii="宋体" w:hAnsi="宋体" w:eastAsia="宋体" w:cs="宋体"/>
                <w:color w:val="auto"/>
                <w:sz w:val="28"/>
                <w:szCs w:val="28"/>
                <w:vertAlign w:val="baseline"/>
                <w:lang w:val="en-US" w:eastAsia="zh-CN"/>
              </w:rPr>
              <w:t>2</w:t>
            </w:r>
          </w:p>
        </w:tc>
        <w:tc>
          <w:tcPr>
            <w:tcW w:w="1517"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r>
              <w:rPr>
                <w:rFonts w:hint="eastAsia" w:ascii="宋体" w:hAnsi="宋体" w:eastAsia="宋体" w:cs="宋体"/>
                <w:color w:val="auto"/>
                <w:sz w:val="28"/>
                <w:szCs w:val="28"/>
                <w:vertAlign w:val="baseline"/>
                <w:lang w:eastAsia="zh-CN"/>
              </w:rPr>
              <w:t>大学本科以上</w:t>
            </w:r>
          </w:p>
        </w:tc>
        <w:tc>
          <w:tcPr>
            <w:tcW w:w="4716" w:type="dxa"/>
            <w:vAlign w:val="center"/>
          </w:tcPr>
          <w:p>
            <w:pPr>
              <w:keepNext w:val="0"/>
              <w:keepLines w:val="0"/>
              <w:pageBreakBefore w:val="0"/>
              <w:widowControl w:val="0"/>
              <w:kinsoku/>
              <w:wordWrap/>
              <w:overflowPunct/>
              <w:topLinePunct w:val="0"/>
              <w:autoSpaceDE/>
              <w:autoSpaceDN/>
              <w:bidi w:val="0"/>
              <w:adjustRightInd/>
              <w:snapToGrid w:val="0"/>
              <w:ind w:firstLine="560" w:firstLineChars="200"/>
              <w:jc w:val="left"/>
              <w:textAlignment w:val="auto"/>
              <w:rPr>
                <w:rFonts w:hint="eastAsia" w:ascii="宋体" w:hAnsi="宋体" w:eastAsia="宋体" w:cs="宋体"/>
                <w:color w:val="auto"/>
                <w:sz w:val="28"/>
                <w:szCs w:val="28"/>
                <w:vertAlign w:val="baseline"/>
                <w:lang w:eastAsia="zh-CN"/>
              </w:rPr>
            </w:pPr>
            <w:r>
              <w:rPr>
                <w:rFonts w:hint="eastAsia" w:ascii="宋体" w:hAnsi="宋体" w:eastAsia="宋体" w:cs="宋体"/>
                <w:color w:val="auto"/>
                <w:sz w:val="28"/>
                <w:szCs w:val="28"/>
                <w:vertAlign w:val="baseline"/>
                <w:lang w:eastAsia="zh-CN"/>
              </w:rPr>
              <w:t>法律相关专业或有在法院系统工作经验的优先录用</w:t>
            </w:r>
          </w:p>
        </w:tc>
        <w:tc>
          <w:tcPr>
            <w:tcW w:w="856"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1" w:hRule="atLeast"/>
        </w:trPr>
        <w:tc>
          <w:tcPr>
            <w:tcW w:w="1371"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r>
              <w:rPr>
                <w:rFonts w:hint="eastAsia" w:ascii="宋体" w:hAnsi="宋体" w:eastAsia="宋体" w:cs="宋体"/>
                <w:color w:val="auto"/>
                <w:sz w:val="28"/>
                <w:szCs w:val="28"/>
                <w:vertAlign w:val="baseline"/>
                <w:lang w:eastAsia="zh-CN"/>
              </w:rPr>
              <w:t>司法警务辅助人员</w:t>
            </w:r>
          </w:p>
        </w:tc>
        <w:tc>
          <w:tcPr>
            <w:tcW w:w="938"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val="en-US" w:eastAsia="zh-CN"/>
              </w:rPr>
            </w:pPr>
            <w:r>
              <w:rPr>
                <w:rFonts w:hint="eastAsia" w:ascii="宋体" w:hAnsi="宋体" w:eastAsia="宋体" w:cs="宋体"/>
                <w:color w:val="auto"/>
                <w:sz w:val="28"/>
                <w:szCs w:val="28"/>
                <w:vertAlign w:val="baseline"/>
                <w:lang w:val="en-US" w:eastAsia="zh-CN"/>
              </w:rPr>
              <w:t>8</w:t>
            </w:r>
          </w:p>
        </w:tc>
        <w:tc>
          <w:tcPr>
            <w:tcW w:w="1517"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val="en-US" w:eastAsia="zh-CN"/>
              </w:rPr>
            </w:pPr>
            <w:r>
              <w:rPr>
                <w:rFonts w:hint="eastAsia" w:ascii="宋体" w:hAnsi="宋体" w:eastAsia="宋体" w:cs="宋体"/>
                <w:color w:val="auto"/>
                <w:sz w:val="28"/>
                <w:szCs w:val="28"/>
                <w:vertAlign w:val="baseline"/>
                <w:lang w:eastAsia="zh-CN"/>
              </w:rPr>
              <w:t>大专及以上学历</w:t>
            </w:r>
          </w:p>
        </w:tc>
        <w:tc>
          <w:tcPr>
            <w:tcW w:w="4716" w:type="dxa"/>
            <w:vAlign w:val="center"/>
          </w:tcPr>
          <w:p>
            <w:pPr>
              <w:keepNext w:val="0"/>
              <w:keepLines w:val="0"/>
              <w:pageBreakBefore w:val="0"/>
              <w:widowControl w:val="0"/>
              <w:kinsoku/>
              <w:wordWrap/>
              <w:overflowPunct/>
              <w:topLinePunct w:val="0"/>
              <w:autoSpaceDE/>
              <w:autoSpaceDN/>
              <w:bidi w:val="0"/>
              <w:adjustRightInd/>
              <w:snapToGrid w:val="0"/>
              <w:ind w:firstLine="560" w:firstLineChars="200"/>
              <w:jc w:val="left"/>
              <w:textAlignment w:val="auto"/>
              <w:rPr>
                <w:rFonts w:hint="eastAsia" w:ascii="宋体" w:hAnsi="宋体" w:eastAsia="宋体" w:cs="宋体"/>
                <w:color w:val="auto"/>
                <w:sz w:val="28"/>
                <w:szCs w:val="28"/>
                <w:vertAlign w:val="baseline"/>
                <w:lang w:eastAsia="zh-CN"/>
              </w:rPr>
            </w:pPr>
            <w:r>
              <w:rPr>
                <w:rFonts w:hint="eastAsia" w:ascii="宋体" w:hAnsi="宋体" w:eastAsia="宋体" w:cs="宋体"/>
                <w:color w:val="auto"/>
                <w:sz w:val="28"/>
                <w:szCs w:val="28"/>
                <w:vertAlign w:val="baseline"/>
                <w:lang w:eastAsia="zh-CN"/>
              </w:rPr>
              <w:t>退役军人可适当放宽至高中（有在法院系统工作经验的优先录用）</w:t>
            </w:r>
          </w:p>
        </w:tc>
        <w:tc>
          <w:tcPr>
            <w:tcW w:w="856"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r>
              <w:rPr>
                <w:rFonts w:hint="eastAsia" w:ascii="宋体" w:hAnsi="宋体" w:cs="宋体"/>
                <w:kern w:val="0"/>
                <w:sz w:val="28"/>
                <w:szCs w:val="28"/>
              </w:rPr>
              <w:t>男性5名女性3名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trPr>
        <w:tc>
          <w:tcPr>
            <w:tcW w:w="1371"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r>
              <w:rPr>
                <w:rFonts w:hint="eastAsia" w:ascii="宋体" w:hAnsi="宋体" w:eastAsia="宋体" w:cs="宋体"/>
                <w:color w:val="auto"/>
                <w:sz w:val="28"/>
                <w:szCs w:val="28"/>
                <w:vertAlign w:val="baseline"/>
                <w:lang w:eastAsia="zh-CN"/>
              </w:rPr>
              <w:t>文秘</w:t>
            </w:r>
          </w:p>
        </w:tc>
        <w:tc>
          <w:tcPr>
            <w:tcW w:w="938"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val="en-US" w:eastAsia="zh-CN"/>
              </w:rPr>
            </w:pPr>
            <w:r>
              <w:rPr>
                <w:rFonts w:hint="eastAsia" w:ascii="宋体" w:hAnsi="宋体" w:eastAsia="宋体" w:cs="宋体"/>
                <w:color w:val="auto"/>
                <w:sz w:val="28"/>
                <w:szCs w:val="28"/>
                <w:vertAlign w:val="baseline"/>
                <w:lang w:val="en-US" w:eastAsia="zh-CN"/>
              </w:rPr>
              <w:t>1</w:t>
            </w:r>
          </w:p>
        </w:tc>
        <w:tc>
          <w:tcPr>
            <w:tcW w:w="1517"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r>
              <w:rPr>
                <w:rFonts w:hint="eastAsia" w:ascii="宋体" w:hAnsi="宋体" w:eastAsia="宋体" w:cs="宋体"/>
                <w:color w:val="auto"/>
                <w:sz w:val="28"/>
                <w:szCs w:val="28"/>
                <w:vertAlign w:val="baseline"/>
                <w:lang w:eastAsia="zh-CN"/>
              </w:rPr>
              <w:t>大学本科以上</w:t>
            </w:r>
          </w:p>
        </w:tc>
        <w:tc>
          <w:tcPr>
            <w:tcW w:w="4716" w:type="dxa"/>
            <w:vAlign w:val="center"/>
          </w:tcPr>
          <w:p>
            <w:pPr>
              <w:keepNext w:val="0"/>
              <w:keepLines w:val="0"/>
              <w:pageBreakBefore w:val="0"/>
              <w:widowControl w:val="0"/>
              <w:kinsoku/>
              <w:wordWrap/>
              <w:overflowPunct/>
              <w:topLinePunct w:val="0"/>
              <w:autoSpaceDE/>
              <w:autoSpaceDN/>
              <w:bidi w:val="0"/>
              <w:adjustRightInd/>
              <w:snapToGrid w:val="0"/>
              <w:ind w:firstLine="560" w:firstLineChars="200"/>
              <w:jc w:val="left"/>
              <w:textAlignment w:val="auto"/>
              <w:rPr>
                <w:rFonts w:hint="eastAsia" w:ascii="宋体" w:hAnsi="宋体" w:eastAsia="宋体" w:cs="宋体"/>
                <w:color w:val="auto"/>
                <w:sz w:val="28"/>
                <w:szCs w:val="28"/>
                <w:vertAlign w:val="baseline"/>
                <w:lang w:eastAsia="zh-CN"/>
              </w:rPr>
            </w:pPr>
            <w:r>
              <w:rPr>
                <w:rFonts w:hint="eastAsia" w:ascii="宋体" w:hAnsi="宋体" w:eastAsia="宋体" w:cs="宋体"/>
                <w:color w:val="auto"/>
                <w:sz w:val="28"/>
                <w:szCs w:val="28"/>
                <w:vertAlign w:val="baseline"/>
                <w:lang w:eastAsia="zh-CN"/>
              </w:rPr>
              <w:t>熟悉公文写作，具备一定的文字处理能力，能够熟练操作和使用计算机及各类办公软件、网络操作系统</w:t>
            </w:r>
          </w:p>
        </w:tc>
        <w:tc>
          <w:tcPr>
            <w:tcW w:w="856"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2" w:hRule="atLeast"/>
        </w:trPr>
        <w:tc>
          <w:tcPr>
            <w:tcW w:w="1371"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r>
              <w:rPr>
                <w:rFonts w:hint="eastAsia" w:ascii="宋体" w:hAnsi="宋体" w:eastAsia="宋体" w:cs="宋体"/>
                <w:color w:val="auto"/>
                <w:sz w:val="28"/>
                <w:szCs w:val="28"/>
                <w:vertAlign w:val="baseline"/>
                <w:lang w:eastAsia="zh-CN"/>
              </w:rPr>
              <w:t>新媒体运营</w:t>
            </w:r>
          </w:p>
        </w:tc>
        <w:tc>
          <w:tcPr>
            <w:tcW w:w="938"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val="en-US" w:eastAsia="zh-CN"/>
              </w:rPr>
            </w:pPr>
            <w:r>
              <w:rPr>
                <w:rFonts w:hint="eastAsia" w:ascii="宋体" w:hAnsi="宋体" w:cs="宋体"/>
                <w:color w:val="auto"/>
                <w:sz w:val="28"/>
                <w:szCs w:val="28"/>
                <w:vertAlign w:val="baseline"/>
                <w:lang w:val="en-US" w:eastAsia="zh-CN"/>
              </w:rPr>
              <w:t>1</w:t>
            </w:r>
          </w:p>
        </w:tc>
        <w:tc>
          <w:tcPr>
            <w:tcW w:w="1517"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r>
              <w:rPr>
                <w:rFonts w:hint="eastAsia" w:ascii="宋体" w:hAnsi="宋体" w:eastAsia="宋体" w:cs="宋体"/>
                <w:color w:val="auto"/>
                <w:sz w:val="28"/>
                <w:szCs w:val="28"/>
                <w:vertAlign w:val="baseline"/>
                <w:lang w:eastAsia="zh-CN"/>
              </w:rPr>
              <w:t>本科以上</w:t>
            </w:r>
          </w:p>
        </w:tc>
        <w:tc>
          <w:tcPr>
            <w:tcW w:w="4716" w:type="dxa"/>
            <w:vAlign w:val="center"/>
          </w:tcPr>
          <w:p>
            <w:pPr>
              <w:keepNext w:val="0"/>
              <w:keepLines w:val="0"/>
              <w:pageBreakBefore w:val="0"/>
              <w:widowControl w:val="0"/>
              <w:kinsoku/>
              <w:wordWrap/>
              <w:overflowPunct/>
              <w:topLinePunct w:val="0"/>
              <w:autoSpaceDE/>
              <w:autoSpaceDN/>
              <w:bidi w:val="0"/>
              <w:adjustRightInd/>
              <w:snapToGrid w:val="0"/>
              <w:ind w:firstLine="560" w:firstLineChars="200"/>
              <w:jc w:val="left"/>
              <w:textAlignment w:val="auto"/>
              <w:rPr>
                <w:rFonts w:hint="eastAsia" w:ascii="宋体" w:hAnsi="宋体" w:eastAsia="宋体" w:cs="宋体"/>
                <w:color w:val="auto"/>
                <w:sz w:val="28"/>
                <w:szCs w:val="28"/>
                <w:vertAlign w:val="baseline"/>
                <w:lang w:eastAsia="zh-CN"/>
              </w:rPr>
            </w:pPr>
            <w:r>
              <w:rPr>
                <w:rFonts w:hint="eastAsia" w:ascii="宋体" w:hAnsi="宋体" w:eastAsia="宋体" w:cs="宋体"/>
                <w:color w:val="auto"/>
                <w:sz w:val="28"/>
                <w:szCs w:val="28"/>
                <w:vertAlign w:val="baseline"/>
                <w:lang w:eastAsia="zh-CN"/>
              </w:rPr>
              <w:t>能够进行方案编写、排版策划、数据分析、音视频剪辑等多媒体制作，进行对外网站、</w:t>
            </w:r>
            <w:r>
              <w:rPr>
                <w:rFonts w:hint="eastAsia" w:ascii="宋体" w:hAnsi="宋体" w:cs="宋体"/>
                <w:color w:val="auto"/>
                <w:sz w:val="28"/>
                <w:szCs w:val="28"/>
                <w:vertAlign w:val="baseline"/>
                <w:lang w:eastAsia="zh-CN"/>
              </w:rPr>
              <w:t>微信</w:t>
            </w:r>
            <w:r>
              <w:rPr>
                <w:rFonts w:hint="eastAsia" w:ascii="宋体" w:hAnsi="宋体" w:eastAsia="宋体" w:cs="宋体"/>
                <w:color w:val="auto"/>
                <w:sz w:val="28"/>
                <w:szCs w:val="28"/>
                <w:vertAlign w:val="baseline"/>
                <w:lang w:eastAsia="zh-CN"/>
              </w:rPr>
              <w:t>公众号、微博、</w:t>
            </w:r>
            <w:r>
              <w:rPr>
                <w:rFonts w:hint="eastAsia" w:ascii="宋体" w:hAnsi="宋体" w:cs="宋体"/>
                <w:color w:val="auto"/>
                <w:sz w:val="28"/>
                <w:szCs w:val="28"/>
                <w:vertAlign w:val="baseline"/>
                <w:lang w:eastAsia="zh-CN"/>
              </w:rPr>
              <w:t>抖</w:t>
            </w:r>
            <w:r>
              <w:rPr>
                <w:rFonts w:hint="eastAsia" w:ascii="宋体" w:hAnsi="宋体" w:eastAsia="宋体" w:cs="宋体"/>
                <w:color w:val="auto"/>
                <w:sz w:val="28"/>
                <w:szCs w:val="28"/>
                <w:vertAlign w:val="baseline"/>
                <w:lang w:eastAsia="zh-CN"/>
              </w:rPr>
              <w:t>音等多媒体平台的维护</w:t>
            </w:r>
          </w:p>
        </w:tc>
        <w:tc>
          <w:tcPr>
            <w:tcW w:w="856"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2" w:hRule="atLeast"/>
        </w:trPr>
        <w:tc>
          <w:tcPr>
            <w:tcW w:w="1371"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r>
              <w:rPr>
                <w:rFonts w:hint="eastAsia" w:ascii="宋体" w:hAnsi="宋体" w:eastAsia="宋体" w:cs="宋体"/>
                <w:color w:val="auto"/>
                <w:sz w:val="28"/>
                <w:szCs w:val="28"/>
                <w:vertAlign w:val="baseline"/>
                <w:lang w:eastAsia="zh-CN"/>
              </w:rPr>
              <w:t>网络管理专员</w:t>
            </w:r>
          </w:p>
        </w:tc>
        <w:tc>
          <w:tcPr>
            <w:tcW w:w="938"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val="en-US" w:eastAsia="zh-CN"/>
              </w:rPr>
            </w:pPr>
            <w:r>
              <w:rPr>
                <w:rFonts w:hint="eastAsia" w:ascii="宋体" w:hAnsi="宋体" w:eastAsia="宋体" w:cs="宋体"/>
                <w:color w:val="auto"/>
                <w:sz w:val="28"/>
                <w:szCs w:val="28"/>
                <w:vertAlign w:val="baseline"/>
                <w:lang w:val="en-US" w:eastAsia="zh-CN"/>
              </w:rPr>
              <w:t>1</w:t>
            </w:r>
          </w:p>
        </w:tc>
        <w:tc>
          <w:tcPr>
            <w:tcW w:w="1517"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r>
              <w:rPr>
                <w:rFonts w:hint="eastAsia" w:ascii="宋体" w:hAnsi="宋体" w:cs="宋体"/>
                <w:color w:val="auto"/>
                <w:sz w:val="28"/>
                <w:szCs w:val="28"/>
                <w:vertAlign w:val="baseline"/>
                <w:lang w:eastAsia="zh-CN"/>
              </w:rPr>
              <w:t>本科</w:t>
            </w:r>
            <w:r>
              <w:rPr>
                <w:rFonts w:hint="eastAsia" w:ascii="宋体" w:hAnsi="宋体" w:eastAsia="宋体" w:cs="宋体"/>
                <w:color w:val="auto"/>
                <w:sz w:val="28"/>
                <w:szCs w:val="28"/>
                <w:vertAlign w:val="baseline"/>
                <w:lang w:eastAsia="zh-CN"/>
              </w:rPr>
              <w:t>以上</w:t>
            </w:r>
          </w:p>
        </w:tc>
        <w:tc>
          <w:tcPr>
            <w:tcW w:w="4716" w:type="dxa"/>
            <w:vAlign w:val="center"/>
          </w:tcPr>
          <w:p>
            <w:pPr>
              <w:keepNext w:val="0"/>
              <w:keepLines w:val="0"/>
              <w:pageBreakBefore w:val="0"/>
              <w:widowControl w:val="0"/>
              <w:kinsoku/>
              <w:wordWrap/>
              <w:overflowPunct/>
              <w:topLinePunct w:val="0"/>
              <w:autoSpaceDE/>
              <w:autoSpaceDN/>
              <w:bidi w:val="0"/>
              <w:adjustRightInd/>
              <w:snapToGrid w:val="0"/>
              <w:ind w:firstLine="560" w:firstLineChars="200"/>
              <w:jc w:val="left"/>
              <w:textAlignment w:val="auto"/>
              <w:rPr>
                <w:rFonts w:hint="eastAsia" w:ascii="宋体" w:hAnsi="宋体" w:eastAsia="宋体" w:cs="宋体"/>
                <w:color w:val="auto"/>
                <w:sz w:val="28"/>
                <w:szCs w:val="28"/>
                <w:vertAlign w:val="baseline"/>
                <w:lang w:eastAsia="zh-CN"/>
              </w:rPr>
            </w:pPr>
            <w:r>
              <w:rPr>
                <w:rFonts w:hint="eastAsia" w:ascii="宋体" w:hAnsi="宋体" w:eastAsia="宋体" w:cs="宋体"/>
                <w:color w:val="auto"/>
                <w:sz w:val="28"/>
                <w:szCs w:val="28"/>
                <w:vertAlign w:val="baseline"/>
                <w:lang w:eastAsia="zh-CN"/>
              </w:rPr>
              <w:t>在网络操作系统、网络数据库、网络设备、网络管理、网络安全以及其他硬件设备的维护等六个方面具备扎实的理论知识和应用技术</w:t>
            </w:r>
          </w:p>
        </w:tc>
        <w:tc>
          <w:tcPr>
            <w:tcW w:w="856"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trPr>
        <w:tc>
          <w:tcPr>
            <w:tcW w:w="1371"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r>
              <w:rPr>
                <w:rFonts w:hint="eastAsia" w:ascii="宋体" w:hAnsi="宋体" w:eastAsia="宋体" w:cs="宋体"/>
                <w:color w:val="auto"/>
                <w:sz w:val="28"/>
                <w:szCs w:val="28"/>
                <w:vertAlign w:val="baseline"/>
                <w:lang w:eastAsia="zh-CN"/>
              </w:rPr>
              <w:t>后勤维修人员</w:t>
            </w:r>
          </w:p>
        </w:tc>
        <w:tc>
          <w:tcPr>
            <w:tcW w:w="938"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val="en-US" w:eastAsia="zh-CN"/>
              </w:rPr>
            </w:pPr>
            <w:r>
              <w:rPr>
                <w:rFonts w:hint="eastAsia" w:ascii="宋体" w:hAnsi="宋体" w:eastAsia="宋体" w:cs="宋体"/>
                <w:color w:val="auto"/>
                <w:sz w:val="28"/>
                <w:szCs w:val="28"/>
                <w:vertAlign w:val="baseline"/>
                <w:lang w:val="en-US" w:eastAsia="zh-CN"/>
              </w:rPr>
              <w:t>1</w:t>
            </w:r>
          </w:p>
        </w:tc>
        <w:tc>
          <w:tcPr>
            <w:tcW w:w="1517"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r>
              <w:rPr>
                <w:rFonts w:hint="eastAsia" w:ascii="宋体" w:hAnsi="宋体" w:eastAsia="宋体" w:cs="宋体"/>
                <w:color w:val="auto"/>
                <w:sz w:val="28"/>
                <w:szCs w:val="28"/>
                <w:vertAlign w:val="baseline"/>
                <w:lang w:eastAsia="zh-CN"/>
              </w:rPr>
              <w:t>高中以上</w:t>
            </w:r>
          </w:p>
        </w:tc>
        <w:tc>
          <w:tcPr>
            <w:tcW w:w="4716" w:type="dxa"/>
            <w:vAlign w:val="center"/>
          </w:tcPr>
          <w:p>
            <w:pPr>
              <w:keepNext w:val="0"/>
              <w:keepLines w:val="0"/>
              <w:pageBreakBefore w:val="0"/>
              <w:widowControl w:val="0"/>
              <w:kinsoku/>
              <w:wordWrap/>
              <w:overflowPunct/>
              <w:topLinePunct w:val="0"/>
              <w:autoSpaceDE/>
              <w:autoSpaceDN/>
              <w:bidi w:val="0"/>
              <w:adjustRightInd/>
              <w:snapToGrid w:val="0"/>
              <w:ind w:firstLine="560" w:firstLineChars="200"/>
              <w:jc w:val="left"/>
              <w:textAlignment w:val="auto"/>
              <w:rPr>
                <w:rFonts w:hint="eastAsia" w:ascii="宋体" w:hAnsi="宋体" w:eastAsia="宋体" w:cs="宋体"/>
                <w:color w:val="auto"/>
                <w:sz w:val="28"/>
                <w:szCs w:val="28"/>
                <w:vertAlign w:val="baseline"/>
                <w:lang w:val="en-US" w:eastAsia="zh-CN"/>
              </w:rPr>
            </w:pPr>
            <w:r>
              <w:rPr>
                <w:rFonts w:hint="eastAsia" w:ascii="宋体" w:hAnsi="宋体" w:eastAsia="宋体" w:cs="宋体"/>
                <w:color w:val="auto"/>
                <w:sz w:val="28"/>
                <w:szCs w:val="28"/>
                <w:vertAlign w:val="baseline"/>
                <w:lang w:eastAsia="zh-CN"/>
              </w:rPr>
              <w:t>熟悉强电、水管、木工等维修（有相关证书或有相关从业经验的优先录用）</w:t>
            </w:r>
          </w:p>
        </w:tc>
        <w:tc>
          <w:tcPr>
            <w:tcW w:w="856"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8"/>
                <w:szCs w:val="28"/>
                <w:vertAlign w:val="baseline"/>
                <w:lang w:eastAsia="zh-CN"/>
              </w:rPr>
            </w:pPr>
          </w:p>
        </w:tc>
      </w:tr>
    </w:tbl>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仿宋_GB2312" w:hAnsi="仿宋_GB2312" w:eastAsia="仿宋_GB2312" w:cs="仿宋_GB2312"/>
          <w:color w:val="auto"/>
          <w:sz w:val="32"/>
          <w:szCs w:val="32"/>
          <w:lang w:eastAsia="zh-CN"/>
        </w:rPr>
      </w:pPr>
    </w:p>
    <w:sectPr>
      <w:pgSz w:w="11906" w:h="16838"/>
      <w:pgMar w:top="2041"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2CE9B2"/>
    <w:multiLevelType w:val="singleLevel"/>
    <w:tmpl w:val="932CE9B2"/>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76F80"/>
    <w:rsid w:val="000815A9"/>
    <w:rsid w:val="00186958"/>
    <w:rsid w:val="001E14E1"/>
    <w:rsid w:val="00211D5C"/>
    <w:rsid w:val="00386574"/>
    <w:rsid w:val="00791F02"/>
    <w:rsid w:val="008C4817"/>
    <w:rsid w:val="0091402C"/>
    <w:rsid w:val="009A45F7"/>
    <w:rsid w:val="00A000DB"/>
    <w:rsid w:val="00A707BB"/>
    <w:rsid w:val="00B83CCE"/>
    <w:rsid w:val="00C76F80"/>
    <w:rsid w:val="00CA1345"/>
    <w:rsid w:val="00E857F6"/>
    <w:rsid w:val="00F107A3"/>
    <w:rsid w:val="00F855BB"/>
    <w:rsid w:val="00F95565"/>
    <w:rsid w:val="00FC1E33"/>
    <w:rsid w:val="057A25B3"/>
    <w:rsid w:val="065F50E0"/>
    <w:rsid w:val="07D26280"/>
    <w:rsid w:val="08FE284F"/>
    <w:rsid w:val="0C65318D"/>
    <w:rsid w:val="0D4C41D1"/>
    <w:rsid w:val="0E0C7CB9"/>
    <w:rsid w:val="0F8D3C72"/>
    <w:rsid w:val="12C132CD"/>
    <w:rsid w:val="13CF5E8D"/>
    <w:rsid w:val="1402375E"/>
    <w:rsid w:val="14142F57"/>
    <w:rsid w:val="14AD29BE"/>
    <w:rsid w:val="180D537E"/>
    <w:rsid w:val="189D4D5D"/>
    <w:rsid w:val="18FA25F8"/>
    <w:rsid w:val="19C54C25"/>
    <w:rsid w:val="1BB24B7B"/>
    <w:rsid w:val="1BB5582E"/>
    <w:rsid w:val="1C412BF2"/>
    <w:rsid w:val="1CBB7C10"/>
    <w:rsid w:val="1EF20938"/>
    <w:rsid w:val="21A9565A"/>
    <w:rsid w:val="24350384"/>
    <w:rsid w:val="25483C88"/>
    <w:rsid w:val="27C0393E"/>
    <w:rsid w:val="27E15945"/>
    <w:rsid w:val="28766500"/>
    <w:rsid w:val="29CD680E"/>
    <w:rsid w:val="2B9360D1"/>
    <w:rsid w:val="31EE7ACC"/>
    <w:rsid w:val="31F2231D"/>
    <w:rsid w:val="35B613DD"/>
    <w:rsid w:val="36DD77CC"/>
    <w:rsid w:val="39F9474F"/>
    <w:rsid w:val="3F206E0E"/>
    <w:rsid w:val="3F6F7238"/>
    <w:rsid w:val="3FC81560"/>
    <w:rsid w:val="42CA4BA3"/>
    <w:rsid w:val="475B3D43"/>
    <w:rsid w:val="47E94575"/>
    <w:rsid w:val="4B5D07F6"/>
    <w:rsid w:val="4D9142B6"/>
    <w:rsid w:val="4F0210A1"/>
    <w:rsid w:val="4F784692"/>
    <w:rsid w:val="5045599F"/>
    <w:rsid w:val="53A05B28"/>
    <w:rsid w:val="546D0C41"/>
    <w:rsid w:val="57346C93"/>
    <w:rsid w:val="5A0C6E90"/>
    <w:rsid w:val="5A844B3A"/>
    <w:rsid w:val="5C74090E"/>
    <w:rsid w:val="5DB90CDF"/>
    <w:rsid w:val="5DD539B5"/>
    <w:rsid w:val="5F7C6662"/>
    <w:rsid w:val="60536F5D"/>
    <w:rsid w:val="60E72874"/>
    <w:rsid w:val="61C03A30"/>
    <w:rsid w:val="62E92585"/>
    <w:rsid w:val="63B67799"/>
    <w:rsid w:val="63DA58CB"/>
    <w:rsid w:val="65586CE2"/>
    <w:rsid w:val="67294FA3"/>
    <w:rsid w:val="6768566E"/>
    <w:rsid w:val="67A632A4"/>
    <w:rsid w:val="6BEB2B80"/>
    <w:rsid w:val="72480893"/>
    <w:rsid w:val="72CE0689"/>
    <w:rsid w:val="742F6E46"/>
    <w:rsid w:val="75CA53DB"/>
    <w:rsid w:val="770F2F56"/>
    <w:rsid w:val="772A2CE3"/>
    <w:rsid w:val="793B19E4"/>
    <w:rsid w:val="79652BFC"/>
    <w:rsid w:val="7A2B44E4"/>
    <w:rsid w:val="7AA5200F"/>
    <w:rsid w:val="7AFA7E05"/>
    <w:rsid w:val="7CA42786"/>
    <w:rsid w:val="7F2848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table" w:styleId="4">
    <w:name w:val="Table Grid"/>
    <w:basedOn w:val="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unhideWhenUsed/>
    <w:qFormat/>
    <w:uiPriority w:val="99"/>
    <w:rPr>
      <w:color w:val="0000FF" w:themeColor="hyperlink"/>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313</Words>
  <Characters>1785</Characters>
  <Lines>14</Lines>
  <Paragraphs>4</Paragraphs>
  <TotalTime>16</TotalTime>
  <ScaleCrop>false</ScaleCrop>
  <LinksUpToDate>false</LinksUpToDate>
  <CharactersWithSpaces>2094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2020-03-06T03:39:00Z</dcterms:created>
  <dc:creator>lenovo</dc:creator>
  <cp:lastModifiedBy>Administrator</cp:lastModifiedBy>
  <cp:lastPrinted>2021-08-31T10:16:00Z</cp:lastPrinted>
  <dcterms:modified xsi:type="dcterms:W3CDTF">2021-08-31T10:33:00Z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0F662498C4EB423CAE9878FD8FB15B88</vt:lpwstr>
  </property>
</Properties>
</file>